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отд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а управления делами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Л.И. Яскина__________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6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по проведению работ по техническому обслуживанию кондиционеров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</w:rPr>
        <w:t xml:space="preserve">по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проведению работ по техническому обслуживанию  кондиционеров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2. Место и срок оказания услуг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Место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оказания услуг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Тываэнерго» 667004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г. Кызыл, ул.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Колхозная,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667001,  г. Кызыл, ул. Рабочая, 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Исполнитель обязан оказать Услуги с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даты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заключения договора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до 31.08.2026г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6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2.3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Исполнитель обязан оказать Услуги в дни и часы, согласованные с Заказчиком с учётом специфики производственного и охранного режима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4"/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Исполнитель обязан обеспечить прибытие специалистов на объект Заказчика в течение 48 часов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 момента получения заявки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left="720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Сроки и условия оплаты услуг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b/>
          <w:sz w:val="24"/>
          <w:szCs w:val="24"/>
        </w:rPr>
      </w:r>
      <w:r>
        <w:rPr>
          <w:rFonts w:ascii="Times New Roman" w:hAnsi="Times New Roman" w:eastAsia="Times New Roman"/>
          <w:b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Предельная Цена настоящего Договора составляет 119 804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,00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руб.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в том числе НДС.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sz w:val="26"/>
          <w:szCs w:val="26"/>
        </w:rPr>
        <w:t xml:space="preserve">3.2 Стоимость услуг согласована в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Приложении №1</w:t>
      </w:r>
      <w:r>
        <w:rPr>
          <w:rFonts w:ascii="Times New Roman" w:hAnsi="Times New Roman"/>
          <w:sz w:val="26"/>
          <w:szCs w:val="26"/>
        </w:rPr>
        <w:t xml:space="preserve">)</w:t>
      </w:r>
      <w:r>
        <w:rPr>
          <w:rFonts w:ascii="Times New Roman" w:hAnsi="Times New Roman"/>
          <w:sz w:val="26"/>
          <w:szCs w:val="26"/>
        </w:rPr>
        <w:t xml:space="preserve"> и может быть изменена только по дополнительному соглашению сторон.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3.3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Заказчик вправе в любое время проверять ход 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качество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оказания,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Исполнителем 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слуг, не вмешиваясь в его деятельность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3.4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Стороны обязуются немедленно информировать друг друга об обстоятельствах,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препятствующих оказанию услуг, для своевременного принятия мер по их устранению.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3.5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Услуги считаются оказанными после подписания Сторонами Акта об оказании услуг.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3.6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Не позднее 5 (пяти) календарных дней с момента проведения технического обслуживания в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Исполнитель передает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Заказчику подписанный со своей с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тороны Акт об оказании услуг. Заказчик должен подписать Акт об оказании услуг в течение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5 (пяти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) календарных дней с момента его получения или предоставить Исполнителю мотивированный отказ от приемки оказанных услуг.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3.7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Оплата производится в течение 10-ти рабочих дней, с момента подписания Актов выполненных работ (бухгалтерских) и накладных.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pStyle w:val="873"/>
        <w:numPr>
          <w:ilvl w:val="0"/>
          <w:numId w:val="17"/>
        </w:numPr>
        <w:contextualSpacing/>
        <w:jc w:val="center"/>
        <w:rPr>
          <w:b/>
        </w:rPr>
      </w:pPr>
      <w:r>
        <w:rPr>
          <w:b/>
          <w:sz w:val="26"/>
          <w:szCs w:val="26"/>
        </w:rPr>
        <w:t xml:space="preserve">Перечень работ по техническому обслуживанию систем кондиционирования.</w:t>
      </w:r>
      <w:r>
        <w:rPr>
          <w:b/>
        </w:rPr>
      </w:r>
      <w:r>
        <w:rPr>
          <w:b/>
        </w:rPr>
      </w:r>
    </w:p>
    <w:p>
      <w:pPr>
        <w:pStyle w:val="873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Внешний осмотр наружного и внутреннего блоков.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Диагностика  внутренних блоков сплит-систем в режиме вентиляции.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Диагностика  внутренних и внешних блоков кассетных кондиционеров и сплит-систем в режимах охлаждения, обогрева и вентиляции при температуре наружного воздуха до - 10 С.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Антибактериальная обработка теплообменников внутренних блоков.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Чистка теплообменников внутренних блоков.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Проверка работоспособности вентилятора внутреннего блока.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Чистка барабана вентилятора внутреннего блока.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Чистка, продувка, устранение засоров дренажной системы.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Чистка лотка сбора конденсата. Чистка лотка сбора конденсата.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Чистка дренажных помп.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Проверка работоспособности "зимних комплектов".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Проверка качества крепления наружного блока.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Проверка электрических соединений внутренних блоков (подтяжка).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При необходимости дозаправка хладагентом (до 300 гр.).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Чистка теплообменников наружных блоков (компре</w:t>
      </w:r>
      <w:r>
        <w:rPr>
          <w:sz w:val="26"/>
          <w:szCs w:val="26"/>
        </w:rPr>
        <w:t xml:space="preserve">ссором или мойкой  высокого </w:t>
      </w:r>
      <w:r>
        <w:rPr>
          <w:sz w:val="26"/>
          <w:szCs w:val="26"/>
        </w:rPr>
        <w:t xml:space="preserve">давления).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3"/>
        <w:contextualSpacing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Чистка наружного блока с частичной разборкой.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contextualSpacing/>
        <w:ind w:firstLine="709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5. Приемка услуг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5.1.</w:t>
      </w:r>
      <w:r>
        <w:rPr>
          <w:rFonts w:ascii="Times New Roman" w:hAnsi="Times New Roman" w:eastAsia="Times New Roman"/>
          <w:sz w:val="26"/>
          <w:szCs w:val="26"/>
        </w:rPr>
        <w:t xml:space="preserve"> Исполнитель</w:t>
      </w:r>
      <w:r>
        <w:rPr>
          <w:rFonts w:ascii="Times New Roman" w:hAnsi="Times New Roman" w:eastAsia="Times New Roman"/>
          <w:sz w:val="26"/>
          <w:szCs w:val="26"/>
        </w:rPr>
        <w:t xml:space="preserve"> гарантирует оказать услуги надлежащего качества. При оказании услуг ненадлежащего качества Заказчик вправе в течение тридцати календарных дней предъявить </w:t>
      </w:r>
      <w:r>
        <w:rPr>
          <w:rFonts w:ascii="Times New Roman" w:hAnsi="Times New Roman" w:eastAsia="Times New Roman"/>
          <w:sz w:val="26"/>
          <w:szCs w:val="26"/>
        </w:rPr>
        <w:t xml:space="preserve">Исполнителю претензию по качеству выполненных работ (услуг).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5.2. Претензия по качеству услуг оформляется путем составления с участием представителя Исполнителя рекламационного акта.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276"/>
        <w:gridCol w:w="212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1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административно-ресурсного обеспечения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ОУД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jc w:val="left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jc w:val="left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6.%2"/>
      <w:lvlJc w:val="left"/>
      <w:pPr>
        <w:ind w:left="1130" w:hanging="360"/>
        <w:tabs>
          <w:tab w:val="num" w:pos="113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862" w:hanging="720"/>
      </w:pPr>
      <w:rPr>
        <w:rFonts w:hint="default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4"/>
    <w:next w:val="864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basedOn w:val="865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4"/>
    <w:next w:val="864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basedOn w:val="865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basedOn w:val="865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basedOn w:val="865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basedOn w:val="865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basedOn w:val="865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basedOn w:val="865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basedOn w:val="865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4"/>
    <w:next w:val="864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basedOn w:val="86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No Spacing"/>
    <w:uiPriority w:val="1"/>
    <w:qFormat/>
    <w:pPr>
      <w:spacing w:before="0" w:after="0" w:line="240" w:lineRule="auto"/>
    </w:pPr>
  </w:style>
  <w:style w:type="paragraph" w:styleId="707">
    <w:name w:val="Title"/>
    <w:basedOn w:val="864"/>
    <w:next w:val="864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>
    <w:name w:val="Title Char"/>
    <w:basedOn w:val="865"/>
    <w:link w:val="707"/>
    <w:uiPriority w:val="10"/>
    <w:rPr>
      <w:sz w:val="48"/>
      <w:szCs w:val="48"/>
    </w:rPr>
  </w:style>
  <w:style w:type="paragraph" w:styleId="709">
    <w:name w:val="Subtitle"/>
    <w:basedOn w:val="864"/>
    <w:next w:val="864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>
    <w:name w:val="Subtitle Char"/>
    <w:basedOn w:val="865"/>
    <w:link w:val="709"/>
    <w:uiPriority w:val="11"/>
    <w:rPr>
      <w:sz w:val="24"/>
      <w:szCs w:val="24"/>
    </w:rPr>
  </w:style>
  <w:style w:type="paragraph" w:styleId="711">
    <w:name w:val="Quote"/>
    <w:basedOn w:val="864"/>
    <w:next w:val="864"/>
    <w:link w:val="712"/>
    <w:uiPriority w:val="29"/>
    <w:qFormat/>
    <w:pPr>
      <w:ind w:left="720" w:right="720"/>
    </w:pPr>
    <w:rPr>
      <w:i/>
    </w:rPr>
  </w:style>
  <w:style w:type="character" w:styleId="712">
    <w:name w:val="Quote Char"/>
    <w:link w:val="711"/>
    <w:uiPriority w:val="29"/>
    <w:rPr>
      <w:i/>
    </w:rPr>
  </w:style>
  <w:style w:type="paragraph" w:styleId="713">
    <w:name w:val="Intense Quote"/>
    <w:basedOn w:val="864"/>
    <w:next w:val="864"/>
    <w:link w:val="7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 Char"/>
    <w:link w:val="713"/>
    <w:uiPriority w:val="30"/>
    <w:rPr>
      <w:i/>
    </w:rPr>
  </w:style>
  <w:style w:type="paragraph" w:styleId="715">
    <w:name w:val="Header"/>
    <w:basedOn w:val="864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>
    <w:name w:val="Header Char"/>
    <w:basedOn w:val="865"/>
    <w:link w:val="715"/>
    <w:uiPriority w:val="99"/>
  </w:style>
  <w:style w:type="paragraph" w:styleId="717">
    <w:name w:val="Footer"/>
    <w:basedOn w:val="864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Footer Char"/>
    <w:basedOn w:val="865"/>
    <w:link w:val="717"/>
    <w:uiPriority w:val="99"/>
  </w:style>
  <w:style w:type="paragraph" w:styleId="719">
    <w:name w:val="Caption"/>
    <w:basedOn w:val="864"/>
    <w:next w:val="864"/>
    <w:link w:val="7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basedOn w:val="719"/>
    <w:link w:val="717"/>
    <w:uiPriority w:val="99"/>
  </w:style>
  <w:style w:type="table" w:styleId="721">
    <w:name w:val="Table Grid"/>
    <w:basedOn w:val="86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Table Grid Light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Plain Table 1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2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>
    <w:name w:val="Grid Table 4 - Accent 1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1">
    <w:name w:val="Grid Table 4 - Accent 2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2">
    <w:name w:val="Grid Table 4 - Accent 3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3">
    <w:name w:val="Grid Table 4 - Accent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4">
    <w:name w:val="Grid Table 4 - Accent 5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5">
    <w:name w:val="Grid Table 4 - Accent 6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6">
    <w:name w:val="Grid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3">
    <w:name w:val="Grid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4">
    <w:name w:val="Grid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5">
    <w:name w:val="Grid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6">
    <w:name w:val="Grid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7">
    <w:name w:val="Grid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8">
    <w:name w:val="Grid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6">
    <w:name w:val="List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7">
    <w:name w:val="List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8">
    <w:name w:val="List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9">
    <w:name w:val="List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0">
    <w:name w:val="List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1">
    <w:name w:val="List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3">
    <w:name w:val="List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4">
    <w:name w:val="List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List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6">
    <w:name w:val="List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List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8">
    <w:name w:val="List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9">
    <w:name w:val="List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0">
    <w:name w:val="List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1">
    <w:name w:val="List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2">
    <w:name w:val="List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3">
    <w:name w:val="List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4">
    <w:name w:val="List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5">
    <w:name w:val="List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6">
    <w:name w:val="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 &amp; 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Bordered &amp; 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Bordered &amp; 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Bordered &amp; 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Bordered &amp; 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Bordered &amp; 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Bordered &amp; 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1">
    <w:name w:val="Bordered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2">
    <w:name w:val="Bordered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3">
    <w:name w:val="Bordered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4">
    <w:name w:val="Bordered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5">
    <w:name w:val="Bordered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6">
    <w:name w:val="Bordered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basedOn w:val="865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basedOn w:val="865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qFormat/>
    <w:rPr>
      <w:rFonts w:ascii="Calibri" w:hAnsi="Calibri" w:eastAsia="Calibri" w:cs="Times New Roman"/>
    </w:rPr>
  </w:style>
  <w:style w:type="character" w:styleId="865" w:default="1">
    <w:name w:val="Default Paragraph Font"/>
    <w:uiPriority w:val="1"/>
    <w:semiHidden/>
    <w:unhideWhenUsed/>
  </w:style>
  <w:style w:type="table" w:styleId="8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7" w:default="1">
    <w:name w:val="No List"/>
    <w:uiPriority w:val="99"/>
    <w:semiHidden/>
    <w:unhideWhenUsed/>
  </w:style>
  <w:style w:type="paragraph" w:styleId="868">
    <w:name w:val="List Paragraph"/>
    <w:basedOn w:val="864"/>
    <w:uiPriority w:val="34"/>
    <w:qFormat/>
    <w:pPr>
      <w:contextualSpacing/>
      <w:ind w:left="720"/>
    </w:pPr>
  </w:style>
  <w:style w:type="paragraph" w:styleId="869">
    <w:name w:val="Balloon Text"/>
    <w:basedOn w:val="864"/>
    <w:link w:val="87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0" w:customStyle="1">
    <w:name w:val="Текст выноски Знак"/>
    <w:basedOn w:val="865"/>
    <w:link w:val="869"/>
    <w:uiPriority w:val="99"/>
    <w:semiHidden/>
    <w:rPr>
      <w:rFonts w:ascii="Tahoma" w:hAnsi="Tahoma" w:eastAsia="Calibri" w:cs="Tahoma"/>
      <w:sz w:val="16"/>
      <w:szCs w:val="16"/>
    </w:rPr>
  </w:style>
  <w:style w:type="paragraph" w:styleId="871">
    <w:name w:val="Normal (Web)"/>
    <w:basedOn w:val="86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72">
    <w:name w:val="Hyperlink"/>
    <w:basedOn w:val="865"/>
    <w:uiPriority w:val="99"/>
    <w:semiHidden/>
    <w:unhideWhenUsed/>
    <w:rPr>
      <w:color w:val="0000ff"/>
      <w:u w:val="single"/>
    </w:rPr>
  </w:style>
  <w:style w:type="paragraph" w:styleId="873" w:customStyle="1">
    <w:name w:val="Абзац списка"/>
    <w:next w:val="706"/>
    <w:uiPriority w:val="34"/>
    <w:qFormat/>
    <w:pPr>
      <w:contextualSpacing w:val="0"/>
      <w:ind w:left="708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KuznetsovaNA</cp:lastModifiedBy>
  <cp:revision>132</cp:revision>
  <dcterms:created xsi:type="dcterms:W3CDTF">2019-05-21T06:34:00Z</dcterms:created>
  <dcterms:modified xsi:type="dcterms:W3CDTF">2026-03-04T06:12:08Z</dcterms:modified>
</cp:coreProperties>
</file>